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154D" w14:textId="4657934A" w:rsidR="00D45E2A" w:rsidRDefault="00D45E2A" w:rsidP="00BE0504">
      <w:pPr>
        <w:jc w:val="both"/>
        <w:rPr>
          <w:rFonts w:asciiTheme="majorBidi" w:hAnsiTheme="majorBidi" w:cstheme="majorBidi"/>
          <w:color w:val="000000"/>
          <w:sz w:val="24"/>
          <w:szCs w:val="24"/>
          <w:shd w:val="clear" w:color="auto" w:fill="FFFFFF"/>
        </w:rPr>
      </w:pPr>
      <w:r>
        <w:rPr>
          <w:rStyle w:val="normaltextrun"/>
          <w:rFonts w:asciiTheme="majorBidi" w:hAnsiTheme="majorBidi" w:cstheme="majorBidi"/>
          <w:color w:val="000000"/>
          <w:sz w:val="24"/>
          <w:szCs w:val="24"/>
          <w:shd w:val="clear" w:color="auto" w:fill="FFFFFF"/>
        </w:rPr>
        <w:t xml:space="preserve">As new technologies are being introduced to the mining industry, the challenges related to their safe assimilation and the potential changes they bring to mining techniques necessitate adjustments to the current operations. Predictive simulations are </w:t>
      </w:r>
      <w:r w:rsidR="001B430D">
        <w:rPr>
          <w:rStyle w:val="normaltextrun"/>
          <w:rFonts w:asciiTheme="majorBidi" w:hAnsiTheme="majorBidi" w:cstheme="majorBidi"/>
          <w:color w:val="000000"/>
          <w:sz w:val="24"/>
          <w:szCs w:val="24"/>
          <w:shd w:val="clear" w:color="auto" w:fill="FFFFFF"/>
        </w:rPr>
        <w:t>critical</w:t>
      </w:r>
      <w:r>
        <w:rPr>
          <w:rStyle w:val="normaltextrun"/>
          <w:rFonts w:asciiTheme="majorBidi" w:hAnsiTheme="majorBidi" w:cstheme="majorBidi"/>
          <w:color w:val="000000"/>
          <w:sz w:val="24"/>
          <w:szCs w:val="24"/>
          <w:shd w:val="clear" w:color="auto" w:fill="FFFFFF"/>
        </w:rPr>
        <w:t xml:space="preserve"> to understand</w:t>
      </w:r>
      <w:r w:rsidR="001B430D">
        <w:rPr>
          <w:rStyle w:val="normaltextrun"/>
          <w:rFonts w:asciiTheme="majorBidi" w:hAnsiTheme="majorBidi" w:cstheme="majorBidi"/>
          <w:color w:val="000000"/>
          <w:sz w:val="24"/>
          <w:szCs w:val="24"/>
          <w:shd w:val="clear" w:color="auto" w:fill="FFFFFF"/>
        </w:rPr>
        <w:t>ing unforeseen scenarios and shifting</w:t>
      </w:r>
      <w:r>
        <w:rPr>
          <w:rStyle w:val="normaltextrun"/>
          <w:rFonts w:asciiTheme="majorBidi" w:hAnsiTheme="majorBidi" w:cstheme="majorBidi"/>
          <w:color w:val="000000"/>
          <w:sz w:val="24"/>
          <w:szCs w:val="24"/>
          <w:shd w:val="clear" w:color="auto" w:fill="FFFFFF"/>
        </w:rPr>
        <w:t xml:space="preserve"> costly changes from the operational stage to the design. </w:t>
      </w:r>
      <w:r w:rsidR="001B430D">
        <w:rPr>
          <w:rStyle w:val="normaltextrun"/>
          <w:rFonts w:asciiTheme="majorBidi" w:hAnsiTheme="majorBidi" w:cstheme="majorBidi"/>
          <w:color w:val="000000"/>
          <w:sz w:val="24"/>
          <w:szCs w:val="24"/>
          <w:shd w:val="clear" w:color="auto" w:fill="FFFFFF"/>
        </w:rPr>
        <w:t xml:space="preserve">The </w:t>
      </w:r>
      <w:r>
        <w:rPr>
          <w:rStyle w:val="normaltextrun"/>
          <w:rFonts w:asciiTheme="majorBidi" w:hAnsiTheme="majorBidi" w:cstheme="majorBidi"/>
          <w:color w:val="000000"/>
          <w:sz w:val="24"/>
          <w:szCs w:val="24"/>
          <w:shd w:val="clear" w:color="auto" w:fill="FFFFFF"/>
        </w:rPr>
        <w:t>Digital Twin methodology has gained a lot of attention in recent years</w:t>
      </w:r>
      <w:r w:rsidR="001B430D">
        <w:rPr>
          <w:rStyle w:val="normaltextrun"/>
          <w:rFonts w:asciiTheme="majorBidi" w:hAnsiTheme="majorBidi" w:cstheme="majorBidi"/>
          <w:color w:val="000000"/>
          <w:sz w:val="24"/>
          <w:szCs w:val="24"/>
          <w:shd w:val="clear" w:color="auto" w:fill="FFFFFF"/>
        </w:rPr>
        <w:t>. Many industries, from manufacturing to engineering and even social sciences, are adopting this approach to understand better the complex systems they are working with</w:t>
      </w:r>
      <w:r>
        <w:rPr>
          <w:rStyle w:val="normaltextrun"/>
          <w:rFonts w:asciiTheme="majorBidi" w:hAnsiTheme="majorBidi" w:cstheme="majorBidi"/>
          <w:color w:val="000000"/>
          <w:sz w:val="24"/>
          <w:szCs w:val="24"/>
          <w:shd w:val="clear" w:color="auto" w:fill="FFFFFF"/>
        </w:rPr>
        <w:t>. </w:t>
      </w:r>
      <w:r>
        <w:rPr>
          <w:rFonts w:asciiTheme="majorBidi" w:hAnsiTheme="majorBidi" w:cstheme="majorBidi"/>
          <w:sz w:val="24"/>
          <w:szCs w:val="24"/>
        </w:rPr>
        <w:t xml:space="preserve">By considering the </w:t>
      </w:r>
      <w:r w:rsidR="001B430D">
        <w:rPr>
          <w:rFonts w:asciiTheme="majorBidi" w:hAnsiTheme="majorBidi" w:cstheme="majorBidi"/>
          <w:sz w:val="24"/>
          <w:szCs w:val="24"/>
        </w:rPr>
        <w:t>enormous</w:t>
      </w:r>
      <w:r>
        <w:rPr>
          <w:rFonts w:asciiTheme="majorBidi" w:hAnsiTheme="majorBidi" w:cstheme="majorBidi"/>
          <w:sz w:val="24"/>
          <w:szCs w:val="24"/>
        </w:rPr>
        <w:t xml:space="preserve"> expenses and risks related to a pilot project, DT could replace that by acting as a prototype in which realistic tests and simulations </w:t>
      </w:r>
      <w:r w:rsidR="00BE0504">
        <w:rPr>
          <w:rFonts w:asciiTheme="majorBidi" w:hAnsiTheme="majorBidi" w:cstheme="majorBidi"/>
          <w:sz w:val="24"/>
          <w:szCs w:val="24"/>
        </w:rPr>
        <w:t>are</w:t>
      </w:r>
      <w:r>
        <w:rPr>
          <w:rFonts w:asciiTheme="majorBidi" w:hAnsiTheme="majorBidi" w:cstheme="majorBidi"/>
          <w:sz w:val="24"/>
          <w:szCs w:val="24"/>
        </w:rPr>
        <w:t xml:space="preserve"> carried out with close to zero cost.</w:t>
      </w:r>
      <w:r>
        <w:rPr>
          <w:rStyle w:val="normaltextrun"/>
          <w:rFonts w:asciiTheme="majorBidi" w:hAnsiTheme="majorBidi" w:cstheme="majorBidi"/>
          <w:color w:val="000000"/>
          <w:sz w:val="24"/>
          <w:szCs w:val="24"/>
          <w:shd w:val="clear" w:color="auto" w:fill="FFFFFF"/>
        </w:rPr>
        <w:t xml:space="preserve"> </w:t>
      </w:r>
      <w:r>
        <w:rPr>
          <w:rStyle w:val="normaltextrun"/>
          <w:rFonts w:asciiTheme="majorBidi" w:hAnsiTheme="majorBidi" w:cstheme="majorBidi"/>
          <w:sz w:val="24"/>
          <w:szCs w:val="24"/>
        </w:rPr>
        <w:t xml:space="preserve">DT includes </w:t>
      </w:r>
      <w:r>
        <w:rPr>
          <w:rStyle w:val="normaltextrun"/>
          <w:rFonts w:asciiTheme="majorBidi" w:hAnsiTheme="majorBidi" w:cstheme="majorBidi"/>
        </w:rPr>
        <w:t xml:space="preserve">a data hub, simulation and analysis tools, and visualization platforms to enable </w:t>
      </w:r>
      <w:r>
        <w:rPr>
          <w:rStyle w:val="normaltextrun"/>
          <w:rFonts w:asciiTheme="majorBidi" w:hAnsiTheme="majorBidi" w:cstheme="majorBidi"/>
          <w:sz w:val="24"/>
          <w:szCs w:val="24"/>
        </w:rPr>
        <w:t>appropriate design</w:t>
      </w:r>
      <w:r>
        <w:rPr>
          <w:rStyle w:val="normaltextrun"/>
          <w:rFonts w:asciiTheme="majorBidi" w:hAnsiTheme="majorBidi" w:cstheme="majorBidi"/>
        </w:rPr>
        <w:t>s</w:t>
      </w:r>
      <w:r>
        <w:rPr>
          <w:rStyle w:val="normaltextrun"/>
          <w:rFonts w:asciiTheme="majorBidi" w:hAnsiTheme="majorBidi" w:cstheme="majorBidi"/>
          <w:sz w:val="24"/>
          <w:szCs w:val="24"/>
        </w:rPr>
        <w:t xml:space="preserve"> </w:t>
      </w:r>
      <w:r>
        <w:rPr>
          <w:rStyle w:val="normaltextrun"/>
          <w:rFonts w:asciiTheme="majorBidi" w:hAnsiTheme="majorBidi" w:cstheme="majorBidi"/>
        </w:rPr>
        <w:t xml:space="preserve">and </w:t>
      </w:r>
      <w:r>
        <w:rPr>
          <w:rStyle w:val="normaltextrun"/>
          <w:rFonts w:asciiTheme="majorBidi" w:hAnsiTheme="majorBidi" w:cstheme="majorBidi"/>
          <w:sz w:val="24"/>
          <w:szCs w:val="24"/>
        </w:rPr>
        <w:t xml:space="preserve">monitoring plans </w:t>
      </w:r>
      <w:r w:rsidR="001B430D">
        <w:rPr>
          <w:rStyle w:val="normaltextrun"/>
          <w:rFonts w:asciiTheme="majorBidi" w:hAnsiTheme="majorBidi" w:cstheme="majorBidi"/>
          <w:sz w:val="24"/>
          <w:szCs w:val="24"/>
        </w:rPr>
        <w:t>focusing</w:t>
      </w:r>
      <w:r>
        <w:rPr>
          <w:rStyle w:val="normaltextrun"/>
          <w:rFonts w:asciiTheme="majorBidi" w:hAnsiTheme="majorBidi" w:cstheme="majorBidi"/>
          <w:sz w:val="24"/>
          <w:szCs w:val="24"/>
        </w:rPr>
        <w:t xml:space="preserve"> on </w:t>
      </w:r>
      <w:r>
        <w:rPr>
          <w:rStyle w:val="normaltextrun"/>
          <w:rFonts w:asciiTheme="majorBidi" w:hAnsiTheme="majorBidi" w:cstheme="majorBidi"/>
        </w:rPr>
        <w:t>unknown</w:t>
      </w:r>
      <w:r>
        <w:rPr>
          <w:rStyle w:val="normaltextrun"/>
          <w:rFonts w:asciiTheme="majorBidi" w:hAnsiTheme="majorBidi" w:cstheme="majorBidi"/>
          <w:sz w:val="24"/>
          <w:szCs w:val="24"/>
        </w:rPr>
        <w:t xml:space="preserve"> areas. </w:t>
      </w:r>
      <w:r>
        <w:rPr>
          <w:rFonts w:asciiTheme="majorBidi" w:hAnsiTheme="majorBidi" w:cstheme="majorBidi"/>
          <w:sz w:val="24"/>
          <w:szCs w:val="24"/>
        </w:rPr>
        <w:t xml:space="preserve">A few examples of DT’s application in mining </w:t>
      </w:r>
      <w:r w:rsidR="00225530">
        <w:rPr>
          <w:rFonts w:asciiTheme="majorBidi" w:hAnsiTheme="majorBidi" w:cstheme="majorBidi"/>
          <w:sz w:val="24"/>
          <w:szCs w:val="24"/>
        </w:rPr>
        <w:t>include</w:t>
      </w:r>
      <w:r>
        <w:rPr>
          <w:rFonts w:asciiTheme="majorBidi" w:hAnsiTheme="majorBidi" w:cstheme="majorBidi"/>
          <w:sz w:val="24"/>
          <w:szCs w:val="24"/>
        </w:rPr>
        <w:t xml:space="preserve"> fleet management, Mine-to-Mill optimization (especially D&amp;B), </w:t>
      </w:r>
      <w:r>
        <w:rPr>
          <w:rStyle w:val="normaltextrun"/>
          <w:rFonts w:asciiTheme="majorBidi" w:hAnsiTheme="majorBidi" w:cstheme="majorBidi"/>
          <w:sz w:val="24"/>
          <w:szCs w:val="24"/>
          <w:lang w:val="en-CA"/>
        </w:rPr>
        <w:t>geotechnical digital twin (</w:t>
      </w:r>
      <w:proofErr w:type="spellStart"/>
      <w:r>
        <w:rPr>
          <w:rStyle w:val="normaltextrun"/>
          <w:rFonts w:asciiTheme="majorBidi" w:hAnsiTheme="majorBidi" w:cstheme="majorBidi"/>
          <w:sz w:val="24"/>
          <w:szCs w:val="24"/>
          <w:lang w:val="en-CA"/>
        </w:rPr>
        <w:t>gDT</w:t>
      </w:r>
      <w:proofErr w:type="spellEnd"/>
      <w:r>
        <w:rPr>
          <w:rStyle w:val="normaltextrun"/>
          <w:rFonts w:asciiTheme="majorBidi" w:hAnsiTheme="majorBidi" w:cstheme="majorBidi"/>
          <w:sz w:val="24"/>
          <w:szCs w:val="24"/>
          <w:lang w:val="en-CA"/>
        </w:rPr>
        <w:t>), etc.</w:t>
      </w:r>
    </w:p>
    <w:p w14:paraId="74141F69" w14:textId="3A1294C8" w:rsidR="00D45E2A" w:rsidRDefault="001B430D" w:rsidP="00BE0504">
      <w:pPr>
        <w:jc w:val="both"/>
        <w:rPr>
          <w:rFonts w:asciiTheme="majorBidi" w:hAnsiTheme="majorBidi" w:cstheme="majorBidi"/>
          <w:sz w:val="24"/>
          <w:szCs w:val="24"/>
        </w:rPr>
      </w:pPr>
      <w:r>
        <w:rPr>
          <w:rFonts w:asciiTheme="majorBidi" w:hAnsiTheme="majorBidi" w:cstheme="majorBidi"/>
          <w:sz w:val="24"/>
          <w:szCs w:val="24"/>
        </w:rPr>
        <w:t>W</w:t>
      </w:r>
      <w:r w:rsidR="00D45E2A">
        <w:rPr>
          <w:rFonts w:asciiTheme="majorBidi" w:hAnsiTheme="majorBidi" w:cstheme="majorBidi"/>
          <w:sz w:val="24"/>
          <w:szCs w:val="24"/>
        </w:rPr>
        <w:t xml:space="preserve">hen developing regulations, testing the efficiency of the mine layout, design and magnitude of </w:t>
      </w:r>
      <w:r w:rsidR="00225530">
        <w:rPr>
          <w:rFonts w:asciiTheme="majorBidi" w:hAnsiTheme="majorBidi" w:cstheme="majorBidi"/>
          <w:sz w:val="24"/>
          <w:szCs w:val="24"/>
        </w:rPr>
        <w:t xml:space="preserve">the </w:t>
      </w:r>
      <w:r w:rsidR="00D45E2A">
        <w:rPr>
          <w:rFonts w:asciiTheme="majorBidi" w:hAnsiTheme="majorBidi" w:cstheme="majorBidi"/>
          <w:sz w:val="24"/>
          <w:szCs w:val="24"/>
        </w:rPr>
        <w:t>restricted area and its access points, human-machine interactions, risk identification</w:t>
      </w:r>
      <w:r>
        <w:rPr>
          <w:rFonts w:asciiTheme="majorBidi" w:hAnsiTheme="majorBidi" w:cstheme="majorBidi"/>
          <w:sz w:val="24"/>
          <w:szCs w:val="24"/>
        </w:rPr>
        <w:t>,</w:t>
      </w:r>
      <w:r w:rsidR="00D45E2A">
        <w:rPr>
          <w:rFonts w:asciiTheme="majorBidi" w:hAnsiTheme="majorBidi" w:cstheme="majorBidi"/>
          <w:sz w:val="24"/>
          <w:szCs w:val="24"/>
        </w:rPr>
        <w:t xml:space="preserve"> and management processes, examining the efficacy of control systems, and monitoring, DT could help speed up (or completely replace) the process in the physical world.</w:t>
      </w:r>
    </w:p>
    <w:p w14:paraId="50F18C48" w14:textId="02E2F60C" w:rsidR="00C32681" w:rsidRDefault="00C32681" w:rsidP="00BE0504">
      <w:pPr>
        <w:pStyle w:val="NormalWeb"/>
        <w:spacing w:before="0" w:beforeAutospacing="0" w:after="0" w:afterAutospacing="0"/>
        <w:jc w:val="both"/>
        <w:rPr>
          <w:rFonts w:ascii="Segoe UI" w:hAnsi="Segoe UI" w:cs="Segoe UI"/>
          <w:sz w:val="18"/>
          <w:szCs w:val="18"/>
        </w:rPr>
      </w:pPr>
    </w:p>
    <w:p w14:paraId="5B8053FF" w14:textId="77777777" w:rsidR="00C32681" w:rsidRDefault="00C32681" w:rsidP="00BE0504">
      <w:pPr>
        <w:jc w:val="both"/>
        <w:rPr>
          <w:rFonts w:asciiTheme="majorBidi" w:hAnsiTheme="majorBidi" w:cstheme="majorBidi"/>
          <w:sz w:val="24"/>
          <w:szCs w:val="24"/>
        </w:rPr>
      </w:pPr>
    </w:p>
    <w:p w14:paraId="4305E353" w14:textId="77777777" w:rsidR="00D45E2A" w:rsidRDefault="00D45E2A" w:rsidP="00D45E2A">
      <w:pPr>
        <w:rPr>
          <w:rFonts w:asciiTheme="majorBidi" w:hAnsiTheme="majorBidi" w:cstheme="majorBidi"/>
          <w:sz w:val="24"/>
          <w:szCs w:val="24"/>
        </w:rPr>
      </w:pPr>
    </w:p>
    <w:p w14:paraId="6ACDB911" w14:textId="77777777" w:rsidR="00246B98" w:rsidRDefault="00246B98"/>
    <w:sectPr w:rsidR="0024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zE2N7M0t7C0MDZW0lEKTi0uzszPAykwqgUA6LxbgSwAAAA="/>
  </w:docVars>
  <w:rsids>
    <w:rsidRoot w:val="00400029"/>
    <w:rsid w:val="001B430D"/>
    <w:rsid w:val="00225530"/>
    <w:rsid w:val="00246B98"/>
    <w:rsid w:val="00400029"/>
    <w:rsid w:val="00BE0504"/>
    <w:rsid w:val="00C32681"/>
    <w:rsid w:val="00D45E2A"/>
    <w:rsid w:val="00DF7AAE"/>
    <w:rsid w:val="00EC5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F089"/>
  <w15:chartTrackingRefBased/>
  <w15:docId w15:val="{1B0A135F-3F49-4C48-9E14-2F6823B6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45E2A"/>
  </w:style>
  <w:style w:type="paragraph" w:styleId="NormalWeb">
    <w:name w:val="Normal (Web)"/>
    <w:basedOn w:val="Normal"/>
    <w:uiPriority w:val="99"/>
    <w:semiHidden/>
    <w:unhideWhenUsed/>
    <w:rsid w:val="00C32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15836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Ghahramanieisalou</dc:creator>
  <cp:keywords/>
  <dc:description/>
  <cp:lastModifiedBy>Milad Ghahramanieisalou</cp:lastModifiedBy>
  <cp:revision>4</cp:revision>
  <dcterms:created xsi:type="dcterms:W3CDTF">2022-08-02T00:37:00Z</dcterms:created>
  <dcterms:modified xsi:type="dcterms:W3CDTF">2022-08-30T19:41:00Z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b38bac-b8d9-4247-86ce-c60989fdd649_Enabled">
    <vt:lpwstr>true</vt:lpwstr>
  </property>
  <property fmtid="{D5CDD505-2E9C-101B-9397-08002B2CF9AE}" pid="3" name="MSIP_Label_49b38bac-b8d9-4247-86ce-c60989fdd649_SetDate">
    <vt:lpwstr>2022-08-30T19:41:27Z</vt:lpwstr>
  </property>
  <property fmtid="{D5CDD505-2E9C-101B-9397-08002B2CF9AE}" pid="4" name="MSIP_Label_49b38bac-b8d9-4247-86ce-c60989fdd649_Method">
    <vt:lpwstr>Standard</vt:lpwstr>
  </property>
  <property fmtid="{D5CDD505-2E9C-101B-9397-08002B2CF9AE}" pid="5" name="MSIP_Label_49b38bac-b8d9-4247-86ce-c60989fdd649_Name">
    <vt:lpwstr>defa4170-0d19-0005-0004-bc88714345d2</vt:lpwstr>
  </property>
  <property fmtid="{D5CDD505-2E9C-101B-9397-08002B2CF9AE}" pid="6" name="MSIP_Label_49b38bac-b8d9-4247-86ce-c60989fdd649_SiteId">
    <vt:lpwstr>523b4bfc-0ebd-4c03-b2b9-6f6a17fd31d8</vt:lpwstr>
  </property>
  <property fmtid="{D5CDD505-2E9C-101B-9397-08002B2CF9AE}" pid="7" name="MSIP_Label_49b38bac-b8d9-4247-86ce-c60989fdd649_ActionId">
    <vt:lpwstr>00cef457-5418-4a3e-9696-79ab60e9cd03</vt:lpwstr>
  </property>
  <property fmtid="{D5CDD505-2E9C-101B-9397-08002B2CF9AE}" pid="8" name="MSIP_Label_49b38bac-b8d9-4247-86ce-c60989fdd649_ContentBits">
    <vt:lpwstr>0</vt:lpwstr>
  </property>
</Properties>
</file>